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A2CBB">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600878</w:t>
      </w:r>
      <w:bookmarkStart w:id="9" w:name="_GoBack"/>
      <w:bookmarkEnd w:id="9"/>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highlight w:val="none"/>
        </w:rPr>
        <w:t xml:space="preserve"> 202</w:t>
      </w:r>
      <w:r>
        <w:rPr>
          <w:rFonts w:hint="eastAsia" w:eastAsia="宋体" w:cs="Times New Roman"/>
          <w:b/>
          <w:bCs/>
          <w:sz w:val="24"/>
          <w:highlight w:val="none"/>
          <w:lang w:val="en-US" w:eastAsia="zh-CN"/>
        </w:rPr>
        <w:t>6</w:t>
      </w:r>
    </w:p>
    <w:p w14:paraId="5E1118E0">
      <w:pPr>
        <w:tabs>
          <w:tab w:val="left" w:pos="1985"/>
        </w:tabs>
        <w:rPr>
          <w:rFonts w:ascii="Times New Roman" w:hAnsi="Times New Roman"/>
          <w:b/>
          <w:sz w:val="22"/>
          <w:highlight w:val="none"/>
        </w:rPr>
      </w:pPr>
    </w:p>
    <w:p w14:paraId="258FEDE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13</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CDEEB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1796E11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 xml:space="preserve">RRM core requirements for NR mobility enhancements Phase 5 </w:t>
      </w:r>
    </w:p>
    <w:bookmarkEnd w:id="4"/>
    <w:bookmarkEnd w:id="5"/>
    <w:p w14:paraId="02A05ED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829441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C77352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#109 meeting, the new WID on NR mobility enhancements Phase 5 was approved [1]. The detailed objectives which has RAN4 impact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6D0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78005F">
            <w:pPr>
              <w:numPr>
                <w:ilvl w:val="0"/>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bookmarkStart w:id="6" w:name="OLE_LINK27"/>
            <w:r>
              <w:rPr>
                <w:rFonts w:hint="default" w:ascii="Times New Roman" w:hAnsi="Times New Roman" w:cs="Times New Roman"/>
                <w:sz w:val="20"/>
                <w:szCs w:val="20"/>
                <w:lang w:eastAsia="zh-CN"/>
              </w:rPr>
              <w:t>LTM SCell activation improvements for further reducing interruption delays</w:t>
            </w:r>
          </w:p>
          <w:p w14:paraId="76963898">
            <w:pPr>
              <w:numPr>
                <w:ilvl w:val="1"/>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Specify the necessary configuration and UE procedures for NW triggering of LTM SCell activation as part of the SpCell LTM cell switch [RAN2, RAN3]. </w:t>
            </w:r>
          </w:p>
          <w:p w14:paraId="7C0614EE">
            <w:pPr>
              <w:numPr>
                <w:ilvl w:val="1"/>
                <w:numId w:val="3"/>
              </w:numPr>
              <w:overflowPunct/>
              <w:autoSpaceDE/>
              <w:autoSpaceDN/>
              <w:adjustRightInd/>
              <w:spacing w:before="60" w:after="6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Evaluate and specify as necessary the needed RAN4 requirements for this [RAN4]. </w:t>
            </w:r>
          </w:p>
          <w:p w14:paraId="105DD617">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1: Reuse the candidate cell LTM measurement and reporting procedures where possible for the SCell activation improvements</w:t>
            </w:r>
          </w:p>
          <w:p w14:paraId="4D65A072">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 Early CSI acquisition procedure for SCell is not in the scope.</w:t>
            </w:r>
          </w:p>
          <w:p w14:paraId="7AEAEBEC">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 This objective is not applicable to non-co-located CA and is not applicable to C-LTM</w:t>
            </w:r>
          </w:p>
          <w:p w14:paraId="2169A616">
            <w:pPr>
              <w:ind w:left="216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4: This objective is applicable to MCG and SCG, and is applicable to both intra-CU and inter-CU cases. </w:t>
            </w:r>
          </w:p>
          <w:p w14:paraId="3FC977FC">
            <w:pPr>
              <w:ind w:left="2160"/>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NOTE 5: The objective is only applicable to the case of SCell activation within the same cell group from which the LTM cell switch command MAC CE is received.</w:t>
            </w:r>
            <w:bookmarkEnd w:id="6"/>
          </w:p>
        </w:tc>
      </w:tr>
    </w:tbl>
    <w:p w14:paraId="276128B1">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p w14:paraId="20A48E20">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This meeting is the first meeting to discuss RRM core requirements </w:t>
      </w:r>
      <w:r>
        <w:rPr>
          <w:rFonts w:hint="eastAsia" w:ascii="Times New Roman" w:hAnsi="Times New Roman"/>
          <w:sz w:val="22"/>
          <w:highlight w:val="none"/>
          <w:lang w:val="en-US" w:eastAsia="zh-CN"/>
        </w:rPr>
        <w:t>for NR mobility enhancements Phase 5</w:t>
      </w:r>
      <w:r>
        <w:rPr>
          <w:rFonts w:hint="eastAsia" w:ascii="Times New Roman" w:hAnsi="Times New Roman"/>
          <w:sz w:val="20"/>
          <w:szCs w:val="20"/>
          <w:lang w:val="en-US" w:eastAsia="zh-CN"/>
        </w:rPr>
        <w:t>.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initial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this topic</w:t>
      </w:r>
      <w:r>
        <w:rPr>
          <w:rFonts w:hint="eastAsia" w:ascii="Times New Roman" w:hAnsi="Times New Roman"/>
          <w:bCs/>
          <w:iCs/>
          <w:sz w:val="20"/>
          <w:szCs w:val="20"/>
        </w:rPr>
        <w:t>.</w:t>
      </w:r>
    </w:p>
    <w:p w14:paraId="779163C4">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p w14:paraId="098C03E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specify the necessary configuration, UE procedures and RAN4 requirements to support LTM SCell activation as part of the SpCell LTM cell switch. There are two procedures from UE side: SpCell LTM cell switch and LTM SCell activation. In our view, these two procedures are independently and can be performed in parallel. </w:t>
      </w:r>
    </w:p>
    <w:p w14:paraId="627E615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for LTM SCell activation as part of the SpCell LTM cell switch, SpCell LTM cell switch and LTM SCell activation are independently and can be performed in parallel.</w:t>
      </w:r>
    </w:p>
    <w:p w14:paraId="18F1017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From RAN4 requirements point of view, two possible alternatives to define delay requirements as below. This issue is similar like HO with PSCell addition, which include both PCell handover and PSCell addition. For HO with PSCell addition, RAN4 define HO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HOwithPSCell_PCell</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and PSCell addition delay requirements </w:t>
      </w:r>
      <w:r>
        <w:rPr>
          <w:rFonts w:hint="default" w:ascii="Times New Roman" w:hAnsi="Times New Roman" w:cs="Times New Roman"/>
          <w:sz w:val="20"/>
          <w:szCs w:val="20"/>
        </w:rPr>
        <w:t>D</w:t>
      </w:r>
      <w:r>
        <w:rPr>
          <w:rFonts w:hint="default" w:ascii="Times New Roman" w:hAnsi="Times New Roman" w:cs="Times New Roman"/>
          <w:sz w:val="20"/>
          <w:szCs w:val="20"/>
          <w:vertAlign w:val="subscript"/>
        </w:rPr>
        <w:t>HOwithPSCell_PSCell</w:t>
      </w:r>
      <w:r>
        <w:rPr>
          <w:rFonts w:hint="default" w:ascii="Times New Roman" w:hAnsi="Times New Roman" w:cs="Times New Roman"/>
          <w:sz w:val="20"/>
          <w:szCs w:val="20"/>
          <w:vertAlign w:val="subscript"/>
          <w:lang w:val="en-US" w:eastAsia="zh-CN"/>
        </w:rPr>
        <w:t xml:space="preserve"> </w:t>
      </w:r>
      <w:r>
        <w:rPr>
          <w:rFonts w:hint="eastAsia" w:ascii="Times New Roman" w:hAnsi="Times New Roman"/>
          <w:sz w:val="20"/>
          <w:szCs w:val="20"/>
          <w:lang w:val="en-US" w:eastAsia="zh-CN"/>
        </w:rPr>
        <w:t xml:space="preserve">separately. If we take same approach for LTM SCell activation as part of the SpCell LTM cell switch, Alternative 1 can be adopted. </w:t>
      </w:r>
    </w:p>
    <w:p w14:paraId="06639CF4">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1: define SpCell LTM cell switch delay and LTM SCell activation delay separately.</w:t>
      </w:r>
    </w:p>
    <w:p w14:paraId="725267D6">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Alternative 2: the total delay is the maximum between SpCell LTM cell switch delay and LTM SCell activation delay separately.</w:t>
      </w:r>
    </w:p>
    <w:p w14:paraId="6ABAEDF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LTM SCell activation as part of the SpCell LTM cell switch, there are two alternatives to define delay requirements. </w:t>
      </w:r>
    </w:p>
    <w:p w14:paraId="3710EF48">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74B2A92B">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577438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r>
        <w:rPr>
          <w:rFonts w:hint="default" w:ascii="Times New Roman" w:hAnsi="Times New Roman" w:cs="Times New Roman"/>
          <w:sz w:val="20"/>
          <w:szCs w:val="20"/>
          <w:lang w:val="en-US" w:eastAsia="zh-CN"/>
        </w:rPr>
        <w:t xml:space="preserve">SpCell LTM cell switch delay for intra-CU scenario is defined in Rel-18. </w:t>
      </w:r>
      <w:r>
        <w:rPr>
          <w:rFonts w:hint="eastAsia" w:ascii="Times New Roman" w:hAnsi="Times New Roman"/>
          <w:sz w:val="20"/>
          <w:szCs w:val="20"/>
          <w:lang w:val="en-US" w:eastAsia="zh-CN"/>
        </w:rPr>
        <w:t xml:space="preserve">And the inter-CU scenario is supported in Rel-19 with same requirements as that for intra-CU. </w:t>
      </w:r>
      <w:r>
        <w:rPr>
          <w:rFonts w:hint="default" w:ascii="Times New Roman" w:hAnsi="Times New Roman" w:cs="Times New Roman"/>
          <w:sz w:val="20"/>
          <w:szCs w:val="20"/>
          <w:lang w:val="en-US" w:eastAsia="zh-CN"/>
        </w:rPr>
        <w:t>SpCell LTM cell switch delay D</w:t>
      </w:r>
      <w:r>
        <w:rPr>
          <w:rFonts w:hint="default" w:ascii="Times New Roman" w:hAnsi="Times New Roman" w:cs="Times New Roman"/>
          <w:sz w:val="20"/>
          <w:szCs w:val="20"/>
          <w:vertAlign w:val="subscript"/>
          <w:lang w:val="en-US" w:eastAsia="zh-CN"/>
        </w:rPr>
        <w:t>LTM</w:t>
      </w:r>
      <w:r>
        <w:rPr>
          <w:rFonts w:hint="default" w:ascii="Times New Roman" w:hAnsi="Times New Roman" w:cs="Times New Roman"/>
          <w:sz w:val="20"/>
          <w:szCs w:val="20"/>
          <w:lang w:val="en-US" w:eastAsia="zh-CN"/>
        </w:rPr>
        <w:t xml:space="preserve"> is the delay from the end of the last TTI containing the MAC-CE command for cell switch until the time the UE transmits the first UL message on the target cell. </w:t>
      </w:r>
      <w:r>
        <w:rPr>
          <w:rFonts w:hint="default" w:ascii="Times New Roman" w:hAnsi="Times New Roman" w:eastAsia="Malgun Gothic" w:cs="Times New Roman"/>
          <w:sz w:val="20"/>
          <w:szCs w:val="20"/>
          <w:lang w:eastAsia="en-GB"/>
        </w:rPr>
        <w:t>D</w:t>
      </w:r>
      <w:r>
        <w:rPr>
          <w:rFonts w:hint="default" w:ascii="Times New Roman" w:hAnsi="Times New Roman" w:eastAsia="Malgun Gothic" w:cs="Times New Roman"/>
          <w:sz w:val="20"/>
          <w:szCs w:val="20"/>
          <w:vertAlign w:val="subscript"/>
          <w:lang w:eastAsia="en-GB"/>
        </w:rPr>
        <w:t>LTM</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 T</w:t>
      </w:r>
      <w:r>
        <w:rPr>
          <w:rFonts w:hint="default" w:ascii="Times New Roman" w:hAnsi="Times New Roman" w:eastAsia="Malgun Gothic" w:cs="Times New Roman"/>
          <w:sz w:val="20"/>
          <w:szCs w:val="20"/>
          <w:vertAlign w:val="subscript"/>
          <w:lang w:eastAsia="en-GB"/>
        </w:rPr>
        <w:t>LTM-interrupt</w:t>
      </w:r>
      <w:r>
        <w:rPr>
          <w:rFonts w:hint="default" w:ascii="Times New Roman" w:hAnsi="Times New Roman" w:cs="Times New Roman"/>
          <w:sz w:val="20"/>
          <w:szCs w:val="20"/>
          <w:lang w:val="en-US" w:eastAsia="zh-CN"/>
        </w:rPr>
        <w:t xml:space="preserve">. </w:t>
      </w:r>
      <w:r>
        <w:rPr>
          <w:rFonts w:hint="default" w:ascii="Times New Roman" w:hAnsi="Times New Roman" w:eastAsia="Malgun Gothic" w:cs="Times New Roman"/>
          <w:sz w:val="20"/>
          <w:szCs w:val="20"/>
          <w:lang w:eastAsia="en-GB"/>
        </w:rPr>
        <w:t>T</w:t>
      </w:r>
      <w:r>
        <w:rPr>
          <w:rFonts w:hint="default" w:ascii="Times New Roman" w:hAnsi="Times New Roman" w:eastAsia="Malgun Gothic" w:cs="Times New Roman"/>
          <w:sz w:val="20"/>
          <w:szCs w:val="20"/>
          <w:vertAlign w:val="subscript"/>
          <w:lang w:eastAsia="en-GB"/>
        </w:rPr>
        <w:t>cmd</w:t>
      </w:r>
      <w:r>
        <w:rPr>
          <w:rFonts w:hint="default" w:ascii="Times New Roman" w:hAnsi="Times New Roman" w:eastAsia="Malgun Gothic" w:cs="Times New Roman"/>
          <w:sz w:val="20"/>
          <w:szCs w:val="20"/>
          <w:lang w:eastAsia="en-GB"/>
        </w:rPr>
        <w:t xml:space="preserve"> equals to T</w:t>
      </w:r>
      <w:r>
        <w:rPr>
          <w:rFonts w:hint="default" w:ascii="Times New Roman" w:hAnsi="Times New Roman" w:eastAsia="Malgun Gothic" w:cs="Times New Roman"/>
          <w:sz w:val="20"/>
          <w:szCs w:val="20"/>
          <w:vertAlign w:val="subscript"/>
          <w:lang w:eastAsia="en-GB"/>
        </w:rPr>
        <w:t xml:space="preserve">HARQ </w:t>
      </w:r>
      <w:r>
        <w:rPr>
          <w:rFonts w:hint="default" w:ascii="Times New Roman" w:hAnsi="Times New Roman" w:eastAsia="Malgun Gothic" w:cs="Times New Roman"/>
          <w:sz w:val="20"/>
          <w:szCs w:val="20"/>
          <w:lang w:eastAsia="en-GB"/>
        </w:rPr>
        <w:t>+ 3ms, where T</w:t>
      </w:r>
      <w:r>
        <w:rPr>
          <w:rFonts w:hint="default" w:ascii="Times New Roman" w:hAnsi="Times New Roman" w:eastAsia="Malgun Gothic" w:cs="Times New Roman"/>
          <w:sz w:val="20"/>
          <w:szCs w:val="20"/>
          <w:vertAlign w:val="subscript"/>
          <w:lang w:eastAsia="en-GB"/>
        </w:rPr>
        <w:t>HARQ</w:t>
      </w:r>
      <w:r>
        <w:rPr>
          <w:rFonts w:hint="default" w:ascii="Times New Roman" w:hAnsi="Times New Roman" w:eastAsia="Malgun Gothic" w:cs="Times New Roman"/>
          <w:sz w:val="20"/>
          <w:szCs w:val="20"/>
          <w:lang w:eastAsia="en-GB"/>
        </w:rPr>
        <w:t xml:space="preserve"> is the timing between cell switch command and acknowledgement as specified in TS 38.213</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LTM-interrupt</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LTM-processing</w:t>
      </w:r>
      <w:r>
        <w:rPr>
          <w:rFonts w:hint="default" w:ascii="Times New Roman" w:hAnsi="Times New Roman" w:cs="Times New Roman" w:eastAsiaTheme="minorEastAsia"/>
          <w:sz w:val="20"/>
          <w:szCs w:val="20"/>
        </w:rPr>
        <w:t xml:space="preserve"> +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sz w:val="20"/>
          <w:szCs w:val="20"/>
        </w:rPr>
        <w:t xml:space="preserve"> + T</w:t>
      </w:r>
      <w:r>
        <w:rPr>
          <w:rFonts w:hint="default" w:ascii="Times New Roman" w:hAnsi="Times New Roman" w:cs="Times New Roman" w:eastAsiaTheme="minorEastAsia"/>
          <w:sz w:val="20"/>
          <w:szCs w:val="20"/>
          <w:vertAlign w:val="subscript"/>
        </w:rPr>
        <w:t xml:space="preserve">RS-proc </w:t>
      </w:r>
      <w:r>
        <w:rPr>
          <w:rFonts w:hint="default" w:ascii="Times New Roman" w:hAnsi="Times New Roman" w:cs="Times New Roman" w:eastAsiaTheme="minorEastAsia"/>
          <w:sz w:val="20"/>
          <w:szCs w:val="20"/>
        </w:rPr>
        <w:t>+ T</w:t>
      </w:r>
      <w:r>
        <w:rPr>
          <w:rFonts w:hint="default" w:ascii="Times New Roman" w:hAnsi="Times New Roman" w:cs="Times New Roman" w:eastAsiaTheme="minorEastAsia"/>
          <w:sz w:val="20"/>
          <w:szCs w:val="20"/>
          <w:vertAlign w:val="subscript"/>
        </w:rPr>
        <w:t>LTM-IU</w:t>
      </w:r>
      <w:r>
        <w:rPr>
          <w:rFonts w:hint="default" w:ascii="Times New Roman" w:hAnsi="Times New Roman" w:cs="Times New Roman" w:eastAsiaTheme="minorEastAsia"/>
          <w:sz w:val="20"/>
          <w:szCs w:val="20"/>
        </w:rPr>
        <w:t xml:space="preserve"> ms</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LTM-RRC-processing</w:t>
      </w:r>
      <w:r>
        <w:rPr>
          <w:rFonts w:hint="default" w:ascii="Times New Roman" w:hAnsi="Times New Roman" w:cs="Times New Roman" w:eastAsiaTheme="minorEastAsia"/>
          <w:sz w:val="20"/>
          <w:szCs w:val="20"/>
        </w:rPr>
        <w:t xml:space="preserve"> is the time for ASN.1 decoding and validity/compliance check for the RRC configuration of the LTM target cell indicated in the LTM cell switch command.</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eastAsiaTheme="minorEastAsia"/>
          <w:bCs/>
          <w:sz w:val="20"/>
          <w:szCs w:val="20"/>
        </w:rPr>
        <w:t>T</w:t>
      </w:r>
      <w:r>
        <w:rPr>
          <w:rFonts w:hint="default" w:ascii="Times New Roman" w:hAnsi="Times New Roman" w:cs="Times New Roman" w:eastAsiaTheme="minorEastAsia"/>
          <w:bCs/>
          <w:sz w:val="20"/>
          <w:szCs w:val="20"/>
          <w:vertAlign w:val="subscript"/>
        </w:rPr>
        <w:t>first-RS</w:t>
      </w:r>
      <w:r>
        <w:rPr>
          <w:rFonts w:hint="default" w:ascii="Times New Roman" w:hAnsi="Times New Roman" w:cs="Times New Roman" w:eastAsiaTheme="minorEastAsia"/>
          <w:bCs/>
          <w:sz w:val="20"/>
          <w:szCs w:val="20"/>
        </w:rPr>
        <w:t xml:space="preserve"> is</w:t>
      </w:r>
      <w:r>
        <w:rPr>
          <w:rFonts w:hint="default" w:ascii="Times New Roman" w:hAnsi="Times New Roman" w:cs="Times New Roman" w:eastAsiaTheme="minorEastAsia"/>
          <w:sz w:val="20"/>
          <w:szCs w:val="20"/>
        </w:rPr>
        <w:t xml:space="preserve"> the time for fine time tracking and acquiring full timing information of the target cell.</w:t>
      </w:r>
      <w:r>
        <w:rPr>
          <w:rFonts w:hint="default" w:ascii="Times New Roman" w:hAnsi="Times New Roman" w:cs="Times New Roman" w:eastAsiaTheme="minorEastAsia"/>
          <w:sz w:val="20"/>
          <w:szCs w:val="20"/>
          <w:lang w:val="en-US" w:eastAsia="zh-CN"/>
        </w:rPr>
        <w:t xml:space="preserve"> </w:t>
      </w:r>
      <w:r>
        <w:rPr>
          <w:rFonts w:hint="default" w:ascii="Times New Roman" w:hAnsi="Times New Roman" w:cs="Times New Roman" w:eastAsiaTheme="minorEastAsia"/>
          <w:sz w:val="20"/>
          <w:szCs w:val="20"/>
        </w:rPr>
        <w:t>T</w:t>
      </w:r>
      <w:r>
        <w:rPr>
          <w:rFonts w:hint="default" w:ascii="Times New Roman" w:hAnsi="Times New Roman" w:cs="Times New Roman" w:eastAsiaTheme="minorEastAsia"/>
          <w:sz w:val="20"/>
          <w:szCs w:val="20"/>
          <w:vertAlign w:val="subscript"/>
        </w:rPr>
        <w:t>RS-proc</w:t>
      </w:r>
      <w:r>
        <w:rPr>
          <w:rFonts w:hint="default" w:ascii="Times New Roman" w:hAnsi="Times New Roman" w:cs="Times New Roman" w:eastAsiaTheme="minorEastAsia"/>
          <w:bCs/>
          <w:sz w:val="20"/>
          <w:szCs w:val="20"/>
        </w:rPr>
        <w:t xml:space="preserve"> is the time for SSB processing.</w:t>
      </w:r>
      <w:r>
        <w:rPr>
          <w:rFonts w:hint="default" w:ascii="Times New Roman" w:hAnsi="Times New Roman" w:cs="Times New Roman" w:eastAsiaTheme="minorEastAsia"/>
          <w:bCs/>
          <w:sz w:val="20"/>
          <w:szCs w:val="20"/>
          <w:lang w:val="en-US" w:eastAsia="zh-CN"/>
        </w:rPr>
        <w:t xml:space="preserve"> T</w:t>
      </w:r>
      <w:r>
        <w:rPr>
          <w:rFonts w:hint="default" w:ascii="Times New Roman" w:hAnsi="Times New Roman" w:cs="Times New Roman" w:eastAsiaTheme="minorEastAsia"/>
          <w:bCs/>
          <w:sz w:val="20"/>
          <w:szCs w:val="20"/>
          <w:vertAlign w:val="subscript"/>
          <w:lang w:val="en-US" w:eastAsia="zh-CN"/>
        </w:rPr>
        <w:t>LTM-IU</w:t>
      </w:r>
      <w:r>
        <w:rPr>
          <w:rFonts w:hint="default" w:ascii="Times New Roman" w:hAnsi="Times New Roman" w:cs="Times New Roman" w:eastAsiaTheme="minorEastAsia"/>
          <w:bCs/>
          <w:sz w:val="20"/>
          <w:szCs w:val="20"/>
          <w:lang w:val="en-US" w:eastAsia="zh-CN"/>
        </w:rPr>
        <w:t xml:space="preserve"> is the interruption uncertainty during LTM cell switch. </w:t>
      </w:r>
      <w:r>
        <w:rPr>
          <w:rFonts w:hint="eastAsia" w:ascii="Times New Roman" w:hAnsi="Times New Roman" w:cs="Times New Roman" w:eastAsiaTheme="minorEastAsia"/>
          <w:bCs/>
          <w:sz w:val="20"/>
          <w:szCs w:val="20"/>
          <w:lang w:val="en-US" w:eastAsia="zh-CN"/>
        </w:rPr>
        <w:t xml:space="preserve">For SpCell LTM cell switch, no difference is observed from legacy SpCell LTM cell switch, the legacy LTM cell switch delay requirements (section 6.3.1, TS38.133) can be reused. </w:t>
      </w:r>
    </w:p>
    <w:p w14:paraId="5AA1CFD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53F968B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RAN4 define SCell activation delay requirements for many scenarios, including Rel-15 SCell Activation Delay Requirement for Deactivated SCell, SCell Activation Delay Requirement for Deactivated SCell based on measurement in IDLE/INACTIVE mode, Fast SCell Activation Delay Requirement for Deactivated SCell, SCell Activation Delay Requirement for Deactivated SCell with the L3 reporting during activation, etc. The detailed SCell activation delay requirements are different for different scenarios. According to the WID, this objective is  applicable to co-located CA, and the candidate cell LTM measurement and reporting can be reused to improve SCell activation. The detailed SCell activation delay requirements can be further discussed.</w:t>
      </w:r>
    </w:p>
    <w:p w14:paraId="57FE0D1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LTM SCell activation delay, the SCell activation delay requirements can be further discussed  considering that the candidate cell LTM measurement and reporting can be reused to improve SCell activation.</w:t>
      </w:r>
    </w:p>
    <w:p w14:paraId="01187FF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p>
    <w:bookmarkEnd w:id="7"/>
    <w:bookmarkEnd w:id="8"/>
    <w:p w14:paraId="046857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527F3A70">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lang w:val="en-US" w:eastAsia="zh-CN"/>
        </w:rPr>
        <w:t>RRM core requirements for NR mobility enhancements Phase 5</w:t>
      </w:r>
      <w:r>
        <w:rPr>
          <w:rFonts w:hint="eastAsia" w:ascii="Times New Roman" w:hAnsi="Times New Roman"/>
          <w:sz w:val="20"/>
          <w:szCs w:val="20"/>
          <w:highlight w:val="none"/>
        </w:rPr>
        <w:t>. The proposals are:</w:t>
      </w:r>
    </w:p>
    <w:p w14:paraId="7AF40CD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b/>
          <w:bCs/>
          <w:i/>
          <w:iCs/>
          <w:sz w:val="20"/>
          <w:szCs w:val="20"/>
          <w:lang w:val="en-US" w:eastAsia="zh-CN"/>
        </w:rPr>
        <w:t>Proposal 1: for LTM SCell activation as part of the SpCell LTM cell switch, SpCell LTM cell switch and LTM SCell activation are independently and can be performed in parallel.</w:t>
      </w:r>
    </w:p>
    <w:p w14:paraId="2A69E6F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LTM SCell activation as part of the SpCell LTM cell switch, there are two alternatives to define delay requirements. </w:t>
      </w:r>
    </w:p>
    <w:p w14:paraId="4DAF47BC">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1: define SpCell LTM cell switch delay and LTM SCell activation delay separately.</w:t>
      </w:r>
    </w:p>
    <w:p w14:paraId="03786545">
      <w:pPr>
        <w:keepNext w:val="0"/>
        <w:keepLines w:val="0"/>
        <w:pageBreakBefore w:val="0"/>
        <w:widowControl w:val="0"/>
        <w:numPr>
          <w:ilvl w:val="0"/>
          <w:numId w:val="4"/>
        </w:numPr>
        <w:kinsoku/>
        <w:wordWrap/>
        <w:overflowPunct/>
        <w:topLinePunct w:val="0"/>
        <w:autoSpaceDE/>
        <w:autoSpaceDN/>
        <w:bidi w:val="0"/>
        <w:adjustRightInd/>
        <w:snapToGrid/>
        <w:spacing w:after="180" w:line="240" w:lineRule="auto"/>
        <w:ind w:left="420" w:leftChars="0" w:hanging="420" w:firstLineChars="0"/>
        <w:textAlignment w:val="auto"/>
        <w:rPr>
          <w:rFonts w:hint="eastAsia" w:ascii="Times New Roman" w:hAnsi="Times New Roman"/>
          <w:b/>
          <w:bCs/>
          <w:i/>
          <w:iCs/>
          <w:sz w:val="20"/>
          <w:szCs w:val="20"/>
          <w:lang w:val="en-US" w:eastAsia="zh-CN"/>
        </w:rPr>
      </w:pPr>
      <w:r>
        <w:rPr>
          <w:rFonts w:hint="eastAsia" w:ascii="Times New Roman" w:hAnsi="Times New Roman"/>
          <w:b/>
          <w:bCs/>
          <w:i/>
          <w:iCs/>
          <w:sz w:val="20"/>
          <w:szCs w:val="20"/>
          <w:lang w:val="en-US" w:eastAsia="zh-CN"/>
        </w:rPr>
        <w:t>Alternative 2: the total delay is the maximum between SpCell LTM cell switch delay and LTM SCell activation delay separately.</w:t>
      </w:r>
    </w:p>
    <w:p w14:paraId="2BA1227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3: for SpCell LTM cell switch, </w:t>
      </w:r>
      <w:r>
        <w:rPr>
          <w:rFonts w:hint="eastAsia" w:ascii="Times New Roman" w:hAnsi="Times New Roman" w:cs="Times New Roman" w:eastAsiaTheme="minorEastAsia"/>
          <w:b/>
          <w:bCs/>
          <w:i/>
          <w:iCs/>
          <w:sz w:val="20"/>
          <w:szCs w:val="20"/>
          <w:lang w:val="en-US" w:eastAsia="zh-CN"/>
        </w:rPr>
        <w:t>legacy LTM cell switch delay requirements (section 6.3.1, TS38.133) can be reused.</w:t>
      </w:r>
    </w:p>
    <w:p w14:paraId="6FAAE47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4: for LTM SCell activation delay, the SCell activation delay requirements can be further discussed  considering that the candidate cell LTM measurement and reporting can be reused to improve SCell activation.</w:t>
      </w:r>
    </w:p>
    <w:p w14:paraId="32308B65">
      <w:pPr>
        <w:tabs>
          <w:tab w:val="left" w:pos="1134"/>
        </w:tabs>
        <w:spacing w:after="180" w:line="240" w:lineRule="exact"/>
        <w:rPr>
          <w:rFonts w:hint="eastAsia" w:ascii="Times New Roman" w:hAnsi="Times New Roman"/>
          <w:sz w:val="20"/>
          <w:szCs w:val="20"/>
          <w:highlight w:val="none"/>
        </w:rPr>
      </w:pPr>
    </w:p>
    <w:p w14:paraId="54BE5A42">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0DE9DA9">
      <w:pPr>
        <w:pStyle w:val="13"/>
        <w:keepNext w:val="0"/>
        <w:keepLines w:val="0"/>
        <w:pageBreakBefore w:val="0"/>
        <w:framePr w:wrap="auto" w:vAnchor="margin" w:hAnchor="text" w:yAlign="inline"/>
        <w:widowControl w:val="0"/>
        <w:numPr>
          <w:ilvl w:val="0"/>
          <w:numId w:val="0"/>
        </w:numPr>
        <w:kinsoku/>
        <w:wordWrap/>
        <w:overflowPunct w:val="0"/>
        <w:topLinePunct w:val="0"/>
        <w:autoSpaceDE w:val="0"/>
        <w:autoSpaceDN w:val="0"/>
        <w:bidi w:val="0"/>
        <w:adjustRightInd w:val="0"/>
        <w:snapToGrid/>
        <w:spacing w:line="240" w:lineRule="auto"/>
        <w:ind w:right="403" w:rightChars="0"/>
        <w:jc w:val="both"/>
        <w:textAlignment w:val="baseline"/>
        <w:rPr>
          <w:rFonts w:hint="default" w:ascii="Times New Roman" w:hAnsi="Times New Roman" w:eastAsia="宋体" w:cs="Times New Roman"/>
          <w:b w:val="0"/>
          <w:sz w:val="20"/>
          <w:lang w:eastAsia="zh-CN"/>
        </w:rPr>
      </w:pPr>
      <w:r>
        <w:rPr>
          <w:rFonts w:hint="default" w:ascii="Times New Roman" w:hAnsi="Times New Roman" w:eastAsia="宋体" w:cs="Times New Roman"/>
          <w:b w:val="0"/>
          <w:sz w:val="20"/>
          <w:lang w:eastAsia="zh-CN"/>
        </w:rPr>
        <w:t>[1] RP-252113, Revised Work Item: NR mobility enhancements Phase 5</w:t>
      </w:r>
    </w:p>
    <w:p w14:paraId="231A50B7">
      <w:pPr>
        <w:pStyle w:val="13"/>
        <w:framePr w:wrap="auto" w:vAnchor="margin" w:hAnchor="text" w:yAlign="inline"/>
        <w:ind w:right="400"/>
        <w:jc w:val="both"/>
        <w:rPr>
          <w:rFonts w:ascii="Times" w:hAnsi="Times" w:eastAsia="宋体"/>
          <w:b w:val="0"/>
          <w:sz w:val="20"/>
          <w:lang w:eastAsia="zh-CN"/>
        </w:rPr>
      </w:pPr>
    </w:p>
    <w:p w14:paraId="0A523C19">
      <w:pPr>
        <w:pStyle w:val="13"/>
        <w:framePr w:wrap="auto" w:vAnchor="margin" w:hAnchor="text" w:yAlign="inline"/>
        <w:ind w:right="400"/>
        <w:jc w:val="both"/>
        <w:rPr>
          <w:rFonts w:hint="eastAsia" w:ascii="Times" w:hAnsi="Times" w:eastAsia="宋体"/>
          <w:b w:val="0"/>
          <w:sz w:val="20"/>
          <w:lang w:val="en-US" w:eastAsia="zh-CN"/>
        </w:rPr>
      </w:pPr>
    </w:p>
    <w:p w14:paraId="0EEF2378"/>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Lucida Grande">
    <w:altName w:val="Courier New"/>
    <w:panose1 w:val="020B0600040502020204"/>
    <w:charset w:val="00"/>
    <w:family w:val="swiss"/>
    <w:pitch w:val="default"/>
    <w:sig w:usb0="00000000" w:usb1="00000000" w:usb2="00000000" w:usb3="00000000" w:csb0="000001B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F2EE"/>
    <w:multiLevelType w:val="singleLevel"/>
    <w:tmpl w:val="0F92F2EE"/>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E0B52"/>
    <w:rsid w:val="05AC3A85"/>
    <w:rsid w:val="06A50B76"/>
    <w:rsid w:val="06BB2083"/>
    <w:rsid w:val="07435D9A"/>
    <w:rsid w:val="08375E63"/>
    <w:rsid w:val="08D72A91"/>
    <w:rsid w:val="0A7A49BE"/>
    <w:rsid w:val="0A922065"/>
    <w:rsid w:val="0B0B6A68"/>
    <w:rsid w:val="0B1579BA"/>
    <w:rsid w:val="0BB44D87"/>
    <w:rsid w:val="0CD8520D"/>
    <w:rsid w:val="0DD40EBD"/>
    <w:rsid w:val="0E367C5D"/>
    <w:rsid w:val="0F095A37"/>
    <w:rsid w:val="0F14168B"/>
    <w:rsid w:val="105B6EC8"/>
    <w:rsid w:val="11604C92"/>
    <w:rsid w:val="11D129C7"/>
    <w:rsid w:val="12236F4E"/>
    <w:rsid w:val="13057541"/>
    <w:rsid w:val="133F3372"/>
    <w:rsid w:val="146A55F3"/>
    <w:rsid w:val="15AD04C1"/>
    <w:rsid w:val="1763139D"/>
    <w:rsid w:val="196675BB"/>
    <w:rsid w:val="197D0A1F"/>
    <w:rsid w:val="19A91D8B"/>
    <w:rsid w:val="19CE05F3"/>
    <w:rsid w:val="1AF8515B"/>
    <w:rsid w:val="1B65127F"/>
    <w:rsid w:val="1BC06F9C"/>
    <w:rsid w:val="1CB317C0"/>
    <w:rsid w:val="1CDA756F"/>
    <w:rsid w:val="1CEC5C03"/>
    <w:rsid w:val="1E9601BD"/>
    <w:rsid w:val="1F3F1B45"/>
    <w:rsid w:val="1FCF11BE"/>
    <w:rsid w:val="20282B52"/>
    <w:rsid w:val="20372402"/>
    <w:rsid w:val="208805ED"/>
    <w:rsid w:val="22ED6B5D"/>
    <w:rsid w:val="232F3DA0"/>
    <w:rsid w:val="23657AA0"/>
    <w:rsid w:val="24FC7E99"/>
    <w:rsid w:val="2509234F"/>
    <w:rsid w:val="28501313"/>
    <w:rsid w:val="28602F17"/>
    <w:rsid w:val="2A3C1140"/>
    <w:rsid w:val="2A552882"/>
    <w:rsid w:val="2B936BAA"/>
    <w:rsid w:val="2BD8717A"/>
    <w:rsid w:val="2CB20162"/>
    <w:rsid w:val="2D2B45A9"/>
    <w:rsid w:val="2E8A1F67"/>
    <w:rsid w:val="2FCE1F78"/>
    <w:rsid w:val="31174DA4"/>
    <w:rsid w:val="312F6D42"/>
    <w:rsid w:val="31E51409"/>
    <w:rsid w:val="32886F74"/>
    <w:rsid w:val="33552E44"/>
    <w:rsid w:val="345B21C0"/>
    <w:rsid w:val="353F5302"/>
    <w:rsid w:val="354F3741"/>
    <w:rsid w:val="3555506A"/>
    <w:rsid w:val="38A21551"/>
    <w:rsid w:val="3A4F0DDD"/>
    <w:rsid w:val="3B8D0A22"/>
    <w:rsid w:val="3C0E0A5C"/>
    <w:rsid w:val="3E2E4312"/>
    <w:rsid w:val="3EC83B67"/>
    <w:rsid w:val="3F0D09C6"/>
    <w:rsid w:val="3F3E1E72"/>
    <w:rsid w:val="3FE206D5"/>
    <w:rsid w:val="40BB4940"/>
    <w:rsid w:val="40C377CE"/>
    <w:rsid w:val="41080290"/>
    <w:rsid w:val="41206955"/>
    <w:rsid w:val="41C932CA"/>
    <w:rsid w:val="41F87BCB"/>
    <w:rsid w:val="43247753"/>
    <w:rsid w:val="43394480"/>
    <w:rsid w:val="44767BDF"/>
    <w:rsid w:val="44DC6CDB"/>
    <w:rsid w:val="44FF5255"/>
    <w:rsid w:val="455A038D"/>
    <w:rsid w:val="46CC1F51"/>
    <w:rsid w:val="46ED24A2"/>
    <w:rsid w:val="479E438D"/>
    <w:rsid w:val="487E0D7E"/>
    <w:rsid w:val="4AD7736C"/>
    <w:rsid w:val="4B8A3F84"/>
    <w:rsid w:val="4C3B4A29"/>
    <w:rsid w:val="4CD27092"/>
    <w:rsid w:val="4D416DCE"/>
    <w:rsid w:val="4D594475"/>
    <w:rsid w:val="4E257040"/>
    <w:rsid w:val="4E6E0718"/>
    <w:rsid w:val="4EB93137"/>
    <w:rsid w:val="514E65F3"/>
    <w:rsid w:val="516B68C8"/>
    <w:rsid w:val="532C2301"/>
    <w:rsid w:val="53CF1DF2"/>
    <w:rsid w:val="53FB352C"/>
    <w:rsid w:val="542770A9"/>
    <w:rsid w:val="549E1464"/>
    <w:rsid w:val="54C56586"/>
    <w:rsid w:val="56DA3153"/>
    <w:rsid w:val="56FE7B2F"/>
    <w:rsid w:val="572A2B91"/>
    <w:rsid w:val="577D1CF1"/>
    <w:rsid w:val="578135A0"/>
    <w:rsid w:val="5ACF2987"/>
    <w:rsid w:val="5C8D3BF2"/>
    <w:rsid w:val="5CCE66D5"/>
    <w:rsid w:val="5D7F2C7A"/>
    <w:rsid w:val="5FD0250C"/>
    <w:rsid w:val="603B0CB0"/>
    <w:rsid w:val="609A6C8B"/>
    <w:rsid w:val="60BD5766"/>
    <w:rsid w:val="624C0D43"/>
    <w:rsid w:val="62F21F51"/>
    <w:rsid w:val="638D6A97"/>
    <w:rsid w:val="63F97611"/>
    <w:rsid w:val="653603C7"/>
    <w:rsid w:val="658713A2"/>
    <w:rsid w:val="65E362F4"/>
    <w:rsid w:val="665A5356"/>
    <w:rsid w:val="6684087E"/>
    <w:rsid w:val="67125837"/>
    <w:rsid w:val="681151C8"/>
    <w:rsid w:val="6A995C7D"/>
    <w:rsid w:val="6B850EE2"/>
    <w:rsid w:val="6BC309B6"/>
    <w:rsid w:val="6BF72930"/>
    <w:rsid w:val="6C535B83"/>
    <w:rsid w:val="6C9B19DD"/>
    <w:rsid w:val="6D6E1218"/>
    <w:rsid w:val="6E11612E"/>
    <w:rsid w:val="6EA92939"/>
    <w:rsid w:val="6F4F630E"/>
    <w:rsid w:val="6F9D09B2"/>
    <w:rsid w:val="70EF3E1D"/>
    <w:rsid w:val="71F80EDE"/>
    <w:rsid w:val="733F3A89"/>
    <w:rsid w:val="74B46F86"/>
    <w:rsid w:val="74DA1F18"/>
    <w:rsid w:val="759E7B54"/>
    <w:rsid w:val="76542E2F"/>
    <w:rsid w:val="776F2970"/>
    <w:rsid w:val="78AA6B87"/>
    <w:rsid w:val="792027AF"/>
    <w:rsid w:val="79761752"/>
    <w:rsid w:val="7AAC00BD"/>
    <w:rsid w:val="7ADE3752"/>
    <w:rsid w:val="7C730BF7"/>
    <w:rsid w:val="7D491447"/>
    <w:rsid w:val="7D6C7155"/>
    <w:rsid w:val="7D9359A7"/>
    <w:rsid w:val="7D997FC8"/>
    <w:rsid w:val="7DC1309B"/>
    <w:rsid w:val="7DF870B2"/>
    <w:rsid w:val="7E2F6E92"/>
    <w:rsid w:val="7E6D5752"/>
    <w:rsid w:val="7FA04C03"/>
    <w:rsid w:val="7FD21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qFormat/>
    <w:uiPriority w:val="0"/>
    <w:pPr>
      <w:ind w:left="568" w:hanging="284"/>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spacing w:after="0"/>
    </w:pPr>
    <w:rPr>
      <w:rFonts w:ascii="Arial" w:hAnsi="Arial"/>
      <w:sz w:val="18"/>
    </w:rPr>
  </w:style>
  <w:style w:type="paragraph" w:customStyle="1" w:styleId="18">
    <w:name w:val="TAN"/>
    <w:basedOn w:val="17"/>
    <w:qFormat/>
    <w:uiPriority w:val="0"/>
    <w:pPr>
      <w:ind w:left="851" w:hanging="851"/>
    </w:pPr>
  </w:style>
  <w:style w:type="paragraph" w:customStyle="1" w:styleId="19">
    <w:name w:val="B1"/>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2024-11-01T08:46:00Z</dcterms:created>
  <dc:creator>cmcc</dc:creator>
  <cp:lastModifiedBy>Jingjing_CMCC</cp:lastModifiedBy>
  <dcterms:modified xsi:type="dcterms:W3CDTF">2026-01-30T06:39:32Z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D7914810C25943A9B23237FB063E3B17</vt:lpwstr>
  </property>
</Properties>
</file>